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EB" w:rsidRDefault="00BF57EB" w:rsidP="00BF57EB">
      <w:pPr>
        <w:pStyle w:val="NormalWeb"/>
      </w:pPr>
      <w:r>
        <w:rPr>
          <w:rStyle w:val="finalnumber"/>
        </w:rPr>
        <w:t>6-3</w:t>
      </w:r>
      <w:r>
        <w:t xml:space="preserve"> - SR-ENRICHED HIGH-PRESSURE TOURMALINE FROM A MAFIC ECLOGITE</w:t>
      </w:r>
    </w:p>
    <w:p w:rsidR="00BF57EB" w:rsidRDefault="00BF57EB" w:rsidP="009E268A">
      <w:pPr>
        <w:pStyle w:val="slotdate"/>
        <w:spacing w:after="0" w:afterAutospacing="0"/>
      </w:pPr>
      <w:r>
        <w:t xml:space="preserve">Sunday, 22 September 2019 </w:t>
      </w:r>
      <w:r>
        <w:tab/>
      </w:r>
      <w:r w:rsidR="00FA4FF2">
        <w:t xml:space="preserve">             </w:t>
      </w:r>
      <w:r>
        <w:t>8:50 AM - 9:05 AM</w:t>
      </w:r>
      <w:r w:rsidR="00FA4FF2">
        <w:t xml:space="preserve">    </w:t>
      </w:r>
      <w:r>
        <w:t xml:space="preserve"> </w:t>
      </w:r>
      <w:r w:rsidR="00FA4FF2">
        <w:t xml:space="preserve">    </w:t>
      </w:r>
      <w:r>
        <w:t xml:space="preserve">Phoenix Convention </w:t>
      </w:r>
      <w:r w:rsidR="00FA4FF2">
        <w:t>Center</w:t>
      </w:r>
      <w:bookmarkStart w:id="0" w:name="_GoBack"/>
      <w:bookmarkEnd w:id="0"/>
    </w:p>
    <w:p w:rsidR="00BF57EB" w:rsidRPr="00BF57EB" w:rsidRDefault="00BF57EB" w:rsidP="00BF57EB">
      <w:pPr>
        <w:pStyle w:val="z-TopofForm"/>
        <w:rPr>
          <w:sz w:val="24"/>
          <w:szCs w:val="24"/>
        </w:rPr>
      </w:pPr>
      <w:r w:rsidRPr="00BF57EB">
        <w:rPr>
          <w:sz w:val="24"/>
          <w:szCs w:val="24"/>
        </w:rPr>
        <w:t>Top of Form</w:t>
      </w:r>
    </w:p>
    <w:p w:rsidR="00BF57EB" w:rsidRPr="00BF57EB" w:rsidRDefault="00BF57EB" w:rsidP="00BF57EB">
      <w:pPr>
        <w:pStyle w:val="z-BottomofForm"/>
        <w:rPr>
          <w:sz w:val="24"/>
          <w:szCs w:val="24"/>
        </w:rPr>
      </w:pPr>
      <w:r w:rsidRPr="00BF57EB">
        <w:rPr>
          <w:sz w:val="24"/>
          <w:szCs w:val="24"/>
        </w:rPr>
        <w:t>Bottom of Form</w:t>
      </w:r>
    </w:p>
    <w:p w:rsidR="00BF57EB" w:rsidRPr="00BF57EB" w:rsidRDefault="00BF57EB" w:rsidP="00BF57EB">
      <w:pPr>
        <w:pStyle w:val="Heading5"/>
        <w:rPr>
          <w:sz w:val="24"/>
          <w:szCs w:val="24"/>
        </w:rPr>
      </w:pPr>
      <w:r w:rsidRPr="00BF57EB">
        <w:rPr>
          <w:sz w:val="24"/>
          <w:szCs w:val="24"/>
        </w:rPr>
        <w:t>Abstract</w:t>
      </w:r>
    </w:p>
    <w:p w:rsidR="00BF57EB" w:rsidRDefault="00BF57EB" w:rsidP="00BF57EB">
      <w:r>
        <w:t xml:space="preserve">An </w:t>
      </w:r>
      <w:proofErr w:type="spellStart"/>
      <w:r>
        <w:t>Eoalpine</w:t>
      </w:r>
      <w:proofErr w:type="spellEnd"/>
      <w:r>
        <w:t xml:space="preserve"> mafic </w:t>
      </w:r>
      <w:proofErr w:type="spellStart"/>
      <w:r>
        <w:t>eclogite</w:t>
      </w:r>
      <w:proofErr w:type="spellEnd"/>
      <w:r>
        <w:t xml:space="preserve">, which occurs in the </w:t>
      </w:r>
      <w:proofErr w:type="spellStart"/>
      <w:r>
        <w:t>Kreuzeck</w:t>
      </w:r>
      <w:proofErr w:type="spellEnd"/>
      <w:r>
        <w:t xml:space="preserve"> Mountains (</w:t>
      </w:r>
      <w:proofErr w:type="spellStart"/>
      <w:r>
        <w:t>Austroalpine</w:t>
      </w:r>
      <w:proofErr w:type="spellEnd"/>
      <w:r>
        <w:t xml:space="preserve"> basement), Eastern Alps, Austria, contains tourmaline crystals, that contain the highest amount of Sr</w:t>
      </w:r>
      <w:r>
        <w:rPr>
          <w:vertAlign w:val="superscript"/>
        </w:rPr>
        <w:t>2+</w:t>
      </w:r>
      <w:r>
        <w:t xml:space="preserve"> (up to 0.68 </w:t>
      </w:r>
      <w:proofErr w:type="spellStart"/>
      <w:r>
        <w:t>wt</w:t>
      </w:r>
      <w:proofErr w:type="spellEnd"/>
      <w:r>
        <w:t xml:space="preserve">% </w:t>
      </w:r>
      <w:proofErr w:type="spellStart"/>
      <w:r>
        <w:t>SrO</w:t>
      </w:r>
      <w:proofErr w:type="spellEnd"/>
      <w:r>
        <w:t xml:space="preserve">) known to date. This tourmaline exhibits unit-cell parameters with </w:t>
      </w:r>
      <w:r>
        <w:rPr>
          <w:rStyle w:val="Emphasis"/>
        </w:rPr>
        <w:t>a</w:t>
      </w:r>
      <w:r>
        <w:t xml:space="preserve"> = 15.944(1), </w:t>
      </w:r>
      <w:r>
        <w:rPr>
          <w:rStyle w:val="Emphasis"/>
        </w:rPr>
        <w:t>c</w:t>
      </w:r>
      <w:r>
        <w:t xml:space="preserve"> = 7.202(1) Å. Analyses by a combination of electron microprobe, optical absorption spectroscopy and crystal-structure refinement result in the structural formula </w:t>
      </w:r>
      <w:r>
        <w:rPr>
          <w:rStyle w:val="Emphasis"/>
          <w:vertAlign w:val="superscript"/>
        </w:rPr>
        <w:t>X</w:t>
      </w:r>
      <w:r>
        <w:t>(Na</w:t>
      </w:r>
      <w:r>
        <w:rPr>
          <w:vertAlign w:val="subscript"/>
        </w:rPr>
        <w:t>0.85</w:t>
      </w:r>
      <w:r>
        <w:t>Ca</w:t>
      </w:r>
      <w:r>
        <w:rPr>
          <w:vertAlign w:val="subscript"/>
        </w:rPr>
        <w:t>0.08</w:t>
      </w:r>
      <w:r>
        <w:t>Sr</w:t>
      </w:r>
      <w:r>
        <w:rPr>
          <w:vertAlign w:val="subscript"/>
        </w:rPr>
        <w:t>0.06</w:t>
      </w:r>
      <w:r>
        <w:t>K</w:t>
      </w:r>
      <w:r>
        <w:rPr>
          <w:vertAlign w:val="subscript"/>
        </w:rPr>
        <w:t>0.</w:t>
      </w:r>
      <w:proofErr w:type="gramStart"/>
      <w:r>
        <w:rPr>
          <w:vertAlign w:val="subscript"/>
        </w:rPr>
        <w:t>01</w:t>
      </w:r>
      <w:r>
        <w:t>)</w:t>
      </w:r>
      <w:r>
        <w:rPr>
          <w:vertAlign w:val="subscript"/>
        </w:rPr>
        <w:t>Σ</w:t>
      </w:r>
      <w:proofErr w:type="gramEnd"/>
      <w:r>
        <w:rPr>
          <w:vertAlign w:val="subscript"/>
        </w:rPr>
        <w:t xml:space="preserve">1.00 </w:t>
      </w:r>
      <w:r>
        <w:rPr>
          <w:rStyle w:val="Emphasis"/>
          <w:vertAlign w:val="superscript"/>
        </w:rPr>
        <w:t>Y</w:t>
      </w:r>
      <w:r>
        <w:t>(Mg</w:t>
      </w:r>
      <w:r>
        <w:rPr>
          <w:vertAlign w:val="subscript"/>
        </w:rPr>
        <w:t>1.7</w:t>
      </w:r>
      <w:r>
        <w:t>Al</w:t>
      </w:r>
      <w:r>
        <w:rPr>
          <w:vertAlign w:val="subscript"/>
        </w:rPr>
        <w:t>0.7</w:t>
      </w:r>
      <w:r>
        <w:t>Fe</w:t>
      </w:r>
      <w:r>
        <w:rPr>
          <w:vertAlign w:val="superscript"/>
        </w:rPr>
        <w:t>3+</w:t>
      </w:r>
      <w:r>
        <w:rPr>
          <w:vertAlign w:val="subscript"/>
        </w:rPr>
        <w:t>0.4</w:t>
      </w:r>
      <w:r>
        <w:t>Ti</w:t>
      </w:r>
      <w:r>
        <w:rPr>
          <w:vertAlign w:val="superscript"/>
        </w:rPr>
        <w:t>4+</w:t>
      </w:r>
      <w:r>
        <w:rPr>
          <w:vertAlign w:val="subscript"/>
        </w:rPr>
        <w:t>0.1</w:t>
      </w:r>
      <w:r>
        <w:t>Fe</w:t>
      </w:r>
      <w:r>
        <w:rPr>
          <w:vertAlign w:val="superscript"/>
        </w:rPr>
        <w:t>2+</w:t>
      </w:r>
      <w:r>
        <w:rPr>
          <w:vertAlign w:val="subscript"/>
        </w:rPr>
        <w:t>0.1</w:t>
      </w:r>
      <w:r>
        <w:t>)</w:t>
      </w:r>
      <w:r>
        <w:rPr>
          <w:vertAlign w:val="subscript"/>
        </w:rPr>
        <w:t xml:space="preserve">Σ3.00 </w:t>
      </w:r>
      <w:r>
        <w:rPr>
          <w:rStyle w:val="Emphasis"/>
          <w:vertAlign w:val="superscript"/>
        </w:rPr>
        <w:t>Z</w:t>
      </w:r>
      <w:r>
        <w:t>(Al</w:t>
      </w:r>
      <w:r>
        <w:rPr>
          <w:vertAlign w:val="subscript"/>
        </w:rPr>
        <w:t>5.1</w:t>
      </w:r>
      <w:r>
        <w:t>Mg</w:t>
      </w:r>
      <w:r>
        <w:rPr>
          <w:vertAlign w:val="subscript"/>
        </w:rPr>
        <w:t>0.8</w:t>
      </w:r>
      <w:r>
        <w:t>Fe</w:t>
      </w:r>
      <w:r>
        <w:rPr>
          <w:vertAlign w:val="superscript"/>
        </w:rPr>
        <w:t>3+</w:t>
      </w:r>
      <w:r>
        <w:rPr>
          <w:vertAlign w:val="subscript"/>
        </w:rPr>
        <w:t>0.1</w:t>
      </w:r>
      <w:r>
        <w:t>)</w:t>
      </w:r>
      <w:r>
        <w:rPr>
          <w:vertAlign w:val="subscript"/>
        </w:rPr>
        <w:t xml:space="preserve">Σ6.00 </w:t>
      </w:r>
      <w:r>
        <w:rPr>
          <w:rStyle w:val="Emphasis"/>
          <w:vertAlign w:val="superscript"/>
        </w:rPr>
        <w:t>T</w:t>
      </w:r>
      <w:r>
        <w:t>(Si</w:t>
      </w:r>
      <w:r>
        <w:rPr>
          <w:vertAlign w:val="subscript"/>
        </w:rPr>
        <w:t>5.8</w:t>
      </w:r>
      <w:r>
        <w:t>B</w:t>
      </w:r>
      <w:r>
        <w:rPr>
          <w:vertAlign w:val="subscript"/>
        </w:rPr>
        <w:t>0.1</w:t>
      </w:r>
      <w:r>
        <w:t>Al</w:t>
      </w:r>
      <w:r>
        <w:rPr>
          <w:vertAlign w:val="subscript"/>
        </w:rPr>
        <w:t>0.1</w:t>
      </w:r>
      <w:r>
        <w:t>O</w:t>
      </w:r>
      <w:r>
        <w:rPr>
          <w:vertAlign w:val="subscript"/>
        </w:rPr>
        <w:t>18</w:t>
      </w:r>
      <w:r>
        <w:t>)</w:t>
      </w:r>
      <w:r>
        <w:rPr>
          <w:vertAlign w:val="subscript"/>
        </w:rPr>
        <w:t xml:space="preserve"> </w:t>
      </w:r>
      <w:r>
        <w:t>(BO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 xml:space="preserve">3 </w:t>
      </w:r>
      <w:r>
        <w:rPr>
          <w:rStyle w:val="Emphasis"/>
          <w:vertAlign w:val="superscript"/>
        </w:rPr>
        <w:t>V</w:t>
      </w:r>
      <w:r>
        <w:t>(OH)</w:t>
      </w:r>
      <w:r>
        <w:rPr>
          <w:vertAlign w:val="subscript"/>
        </w:rPr>
        <w:t xml:space="preserve">3 </w:t>
      </w:r>
      <w:r>
        <w:rPr>
          <w:rStyle w:val="Emphasis"/>
          <w:vertAlign w:val="superscript"/>
        </w:rPr>
        <w:t>W</w:t>
      </w:r>
      <w:r>
        <w:t xml:space="preserve">[O,(OH)]. The </w:t>
      </w:r>
      <w:r>
        <w:rPr>
          <w:rStyle w:val="Emphasis"/>
        </w:rPr>
        <w:t>T</w:t>
      </w:r>
      <w:r>
        <w:t xml:space="preserve"> site contains mainly Si and additionally small amounts of B and Al. Optical absorption spectroscopy was used to estimate the percentage of Fe</w:t>
      </w:r>
      <w:r>
        <w:rPr>
          <w:vertAlign w:val="superscript"/>
        </w:rPr>
        <w:t>2+</w:t>
      </w:r>
      <w:r>
        <w:t xml:space="preserve">. For this </w:t>
      </w:r>
      <w:proofErr w:type="gramStart"/>
      <w:r>
        <w:t>purpose</w:t>
      </w:r>
      <w:proofErr w:type="gramEnd"/>
      <w:r>
        <w:t xml:space="preserve"> the band near 1120 nm was used, because it is the band that is best separated from other bands. According to this estimation, the Fe</w:t>
      </w:r>
      <w:r>
        <w:rPr>
          <w:vertAlign w:val="superscript"/>
        </w:rPr>
        <w:t>3+</w:t>
      </w:r>
      <w:r>
        <w:t xml:space="preserve">/Fe ratio is ca. 80%, suggesting that this high-pressure tourmaline crystallized under oxidizing conditions. </w:t>
      </w:r>
      <w:proofErr w:type="gramStart"/>
      <w:r>
        <w:t>Therefore</w:t>
      </w:r>
      <w:proofErr w:type="gramEnd"/>
      <w:r>
        <w:t xml:space="preserve"> it contains a significant oxy-</w:t>
      </w:r>
      <w:proofErr w:type="spellStart"/>
      <w:r>
        <w:t>dravite</w:t>
      </w:r>
      <w:proofErr w:type="spellEnd"/>
      <w:r>
        <w:t xml:space="preserve"> component. There is no evidence for significant </w:t>
      </w:r>
      <w:r>
        <w:rPr>
          <w:rStyle w:val="Emphasis"/>
        </w:rPr>
        <w:t>X</w:t>
      </w:r>
      <w:r>
        <w:t>-site vacancy in the investigated tourmaline zones.</w:t>
      </w:r>
    </w:p>
    <w:p w:rsidR="00BF57EB" w:rsidRDefault="00BF57EB" w:rsidP="00BF57EB">
      <w:pPr>
        <w:pStyle w:val="NormalWeb"/>
      </w:pPr>
      <w:r>
        <w:t>A crustal source of B would be consistent with relatively high Li concentrations up to 8 mg g</w:t>
      </w:r>
      <w:r>
        <w:rPr>
          <w:vertAlign w:val="superscript"/>
        </w:rPr>
        <w:t>-1</w:t>
      </w:r>
      <w:r>
        <w:t xml:space="preserve"> Li in zircons, </w:t>
      </w:r>
      <w:proofErr w:type="spellStart"/>
      <w:r>
        <w:t>intergrown</w:t>
      </w:r>
      <w:proofErr w:type="spellEnd"/>
      <w:r>
        <w:t xml:space="preserve"> with the tourmaline [3]. Commonly</w:t>
      </w:r>
      <w:r>
        <w:rPr>
          <w:rStyle w:val="Strong"/>
        </w:rPr>
        <w:t>,</w:t>
      </w:r>
      <w:r>
        <w:t xml:space="preserve"> tourmaline-bearing pegmatites of the </w:t>
      </w:r>
      <w:proofErr w:type="spellStart"/>
      <w:r>
        <w:t>Austroalpine</w:t>
      </w:r>
      <w:proofErr w:type="spellEnd"/>
      <w:r>
        <w:t xml:space="preserve"> basement units are in contact with marbles. A pegmatite from the </w:t>
      </w:r>
      <w:proofErr w:type="spellStart"/>
      <w:r>
        <w:t>Austroalpine</w:t>
      </w:r>
      <w:proofErr w:type="spellEnd"/>
      <w:r>
        <w:t xml:space="preserve"> basement was found at the </w:t>
      </w:r>
      <w:proofErr w:type="spellStart"/>
      <w:r>
        <w:t>Koralpe</w:t>
      </w:r>
      <w:proofErr w:type="spellEnd"/>
      <w:r>
        <w:t xml:space="preserve">, Eastern Alps, Styria, Austria, that is in contact with both a </w:t>
      </w:r>
      <w:proofErr w:type="spellStart"/>
      <w:r>
        <w:t>mylonitic</w:t>
      </w:r>
      <w:proofErr w:type="spellEnd"/>
      <w:r>
        <w:t xml:space="preserve"> garnet-mica schist and with marble. It contains Al-rich tourmaline with 189 ppm </w:t>
      </w:r>
      <w:proofErr w:type="spellStart"/>
      <w:r>
        <w:t>Sr</w:t>
      </w:r>
      <w:proofErr w:type="spellEnd"/>
      <w:r>
        <w:t xml:space="preserve"> [1]. Magnesium-rich tourmalines from the contact zone of Permian pegmatites with mica schists and marbles from different localities of the </w:t>
      </w:r>
      <w:proofErr w:type="spellStart"/>
      <w:r>
        <w:t>Austroalpine</w:t>
      </w:r>
      <w:proofErr w:type="spellEnd"/>
      <w:r>
        <w:t xml:space="preserve"> basement units (</w:t>
      </w:r>
      <w:proofErr w:type="spellStart"/>
      <w:r>
        <w:t>Rappold</w:t>
      </w:r>
      <w:proofErr w:type="spellEnd"/>
      <w:r>
        <w:t xml:space="preserve"> Complex) in Styria, Austria, contain up to 142 ppm </w:t>
      </w:r>
      <w:proofErr w:type="spellStart"/>
      <w:r>
        <w:t>Sr</w:t>
      </w:r>
      <w:proofErr w:type="spellEnd"/>
      <w:r>
        <w:t xml:space="preserve"> [2]. It can be concluded that tourmaline-bearing pegmatites, which seem to be the original boron sources for this tourmaline crystallization in the investigated </w:t>
      </w:r>
      <w:proofErr w:type="spellStart"/>
      <w:r>
        <w:t>eclogite</w:t>
      </w:r>
      <w:proofErr w:type="spellEnd"/>
      <w:r>
        <w:t xml:space="preserve">, were influenced by a </w:t>
      </w:r>
      <w:proofErr w:type="spellStart"/>
      <w:r>
        <w:t>Sr</w:t>
      </w:r>
      <w:proofErr w:type="spellEnd"/>
      <w:r>
        <w:t xml:space="preserve">-enriched </w:t>
      </w:r>
      <w:proofErr w:type="spellStart"/>
      <w:r>
        <w:t>metacarbonate</w:t>
      </w:r>
      <w:proofErr w:type="spellEnd"/>
      <w:r>
        <w:t xml:space="preserve">. Some of these marbles contain </w:t>
      </w:r>
      <w:proofErr w:type="spellStart"/>
      <w:r>
        <w:t>Sr</w:t>
      </w:r>
      <w:proofErr w:type="spellEnd"/>
      <w:r>
        <w:t xml:space="preserve"> contents up to 1300 ppm [4].</w:t>
      </w:r>
    </w:p>
    <w:p w:rsidR="00BF57EB" w:rsidRDefault="00BF57EB" w:rsidP="00BF57EB">
      <w:pPr>
        <w:pStyle w:val="NormalWeb"/>
      </w:pPr>
      <w:r>
        <w:t>This work was supported by the Austrian Science Fund (FWF) project no. P31049-N29.</w:t>
      </w:r>
    </w:p>
    <w:p w:rsidR="00BF57EB" w:rsidRDefault="00BF57EB" w:rsidP="00BF57EB">
      <w:pPr>
        <w:pStyle w:val="NormalWeb"/>
      </w:pPr>
      <w:r>
        <w:rPr>
          <w:rStyle w:val="Strong"/>
        </w:rPr>
        <w:t>References</w:t>
      </w:r>
    </w:p>
    <w:p w:rsidR="00BF57EB" w:rsidRDefault="00BF57EB" w:rsidP="00BF57EB">
      <w:pPr>
        <w:pStyle w:val="NormalWeb"/>
        <w:spacing w:before="0" w:beforeAutospacing="0" w:after="0" w:afterAutospacing="0"/>
      </w:pPr>
      <w:r>
        <w:t xml:space="preserve">[1] </w:t>
      </w:r>
      <w:proofErr w:type="spellStart"/>
      <w:r>
        <w:t>Ertl</w:t>
      </w:r>
      <w:proofErr w:type="spellEnd"/>
      <w:r>
        <w:t xml:space="preserve">, A. et al. (2006), </w:t>
      </w:r>
      <w:r>
        <w:rPr>
          <w:rStyle w:val="Emphasis"/>
        </w:rPr>
        <w:t>Am. Mineral.</w:t>
      </w:r>
      <w:r>
        <w:t xml:space="preserve">, </w:t>
      </w:r>
      <w:r>
        <w:rPr>
          <w:rStyle w:val="Strong"/>
        </w:rPr>
        <w:t>91</w:t>
      </w:r>
      <w:r>
        <w:t xml:space="preserve">, 1847-1856. </w:t>
      </w:r>
    </w:p>
    <w:p w:rsidR="00BF57EB" w:rsidRDefault="00BF57EB" w:rsidP="00BF57EB">
      <w:pPr>
        <w:pStyle w:val="NormalWeb"/>
        <w:spacing w:before="0" w:beforeAutospacing="0" w:after="0" w:afterAutospacing="0"/>
      </w:pPr>
      <w:r>
        <w:t xml:space="preserve">[2] </w:t>
      </w:r>
      <w:proofErr w:type="spellStart"/>
      <w:r>
        <w:t>Ertl</w:t>
      </w:r>
      <w:proofErr w:type="spellEnd"/>
      <w:r>
        <w:t xml:space="preserve">, A. et al. (2010), </w:t>
      </w:r>
      <w:r>
        <w:rPr>
          <w:rStyle w:val="Emphasis"/>
        </w:rPr>
        <w:t>Mineral. Petrol.</w:t>
      </w:r>
      <w:r>
        <w:t xml:space="preserve">, </w:t>
      </w:r>
      <w:r>
        <w:rPr>
          <w:rStyle w:val="Strong"/>
        </w:rPr>
        <w:t>99</w:t>
      </w:r>
      <w:r>
        <w:t>, 89-104.</w:t>
      </w:r>
    </w:p>
    <w:p w:rsidR="00BF57EB" w:rsidRDefault="00BF57EB" w:rsidP="00BF57EB">
      <w:pPr>
        <w:pStyle w:val="NormalWeb"/>
        <w:spacing w:before="0" w:beforeAutospacing="0" w:after="0" w:afterAutospacing="0"/>
      </w:pPr>
      <w:r>
        <w:t xml:space="preserve">[3] </w:t>
      </w:r>
      <w:proofErr w:type="spellStart"/>
      <w:r>
        <w:t>Konzett</w:t>
      </w:r>
      <w:proofErr w:type="spellEnd"/>
      <w:r>
        <w:t xml:space="preserve">, J. et al. (2012), </w:t>
      </w:r>
      <w:r>
        <w:rPr>
          <w:rStyle w:val="Emphasis"/>
        </w:rPr>
        <w:t>J. Petrology</w:t>
      </w:r>
      <w:r>
        <w:t xml:space="preserve">, </w:t>
      </w:r>
      <w:r>
        <w:rPr>
          <w:rStyle w:val="Strong"/>
        </w:rPr>
        <w:t>53</w:t>
      </w:r>
      <w:r>
        <w:t xml:space="preserve">, 99-125. </w:t>
      </w:r>
    </w:p>
    <w:p w:rsidR="00BF57EB" w:rsidRDefault="00BF57EB" w:rsidP="00BF57EB">
      <w:pPr>
        <w:pStyle w:val="NormalWeb"/>
      </w:pPr>
      <w:r>
        <w:t xml:space="preserve">[4] </w:t>
      </w:r>
      <w:proofErr w:type="spellStart"/>
      <w:r>
        <w:t>Puhr</w:t>
      </w:r>
      <w:proofErr w:type="spellEnd"/>
      <w:r>
        <w:t xml:space="preserve">, B. et al. (2008), </w:t>
      </w:r>
      <w:proofErr w:type="spellStart"/>
      <w:r>
        <w:t>Abstr</w:t>
      </w:r>
      <w:proofErr w:type="spellEnd"/>
      <w:r>
        <w:t>., DMG 86</w:t>
      </w:r>
      <w:r>
        <w:rPr>
          <w:vertAlign w:val="superscript"/>
        </w:rPr>
        <w:t>th</w:t>
      </w:r>
      <w:r>
        <w:t xml:space="preserve"> Annual Meeting 14-17 Sept. 2008, Berlin, Germany, 307.</w:t>
      </w:r>
    </w:p>
    <w:p w:rsidR="00BF57EB" w:rsidRDefault="00BF57EB" w:rsidP="00FA4FF2">
      <w:pPr>
        <w:pStyle w:val="Heading5"/>
        <w:spacing w:before="0" w:beforeAutospacing="0" w:after="0" w:afterAutospacing="0"/>
        <w:ind w:left="720"/>
      </w:pPr>
      <w:r>
        <w:t>Authors</w:t>
      </w:r>
      <w:r w:rsidR="00FA4FF2">
        <w:tab/>
      </w:r>
      <w:r w:rsidR="00FA4FF2">
        <w:tab/>
      </w:r>
      <w:hyperlink r:id="rId5" w:history="1">
        <w:r w:rsidRPr="00FA4FF2">
          <w:rPr>
            <w:rStyle w:val="Hyperlink"/>
            <w:sz w:val="24"/>
            <w:szCs w:val="24"/>
          </w:rPr>
          <w:t xml:space="preserve">Andreas </w:t>
        </w:r>
        <w:proofErr w:type="spellStart"/>
        <w:r w:rsidRPr="00FA4FF2">
          <w:rPr>
            <w:rStyle w:val="Hyperlink"/>
            <w:sz w:val="24"/>
            <w:szCs w:val="24"/>
          </w:rPr>
          <w:t>Ertl</w:t>
        </w:r>
        <w:proofErr w:type="spellEnd"/>
        <w:r w:rsidRPr="00FA4FF2">
          <w:rPr>
            <w:rStyle w:val="Hyperlink"/>
            <w:sz w:val="24"/>
            <w:szCs w:val="24"/>
          </w:rPr>
          <w:t xml:space="preserve"> </w:t>
        </w:r>
      </w:hyperlink>
      <w:r w:rsidRPr="00FA4FF2">
        <w:rPr>
          <w:sz w:val="24"/>
          <w:szCs w:val="24"/>
        </w:rPr>
        <w:tab/>
      </w:r>
      <w:r w:rsidR="00FA4FF2">
        <w:rPr>
          <w:sz w:val="24"/>
          <w:szCs w:val="24"/>
        </w:rPr>
        <w:tab/>
      </w:r>
      <w:proofErr w:type="spellStart"/>
      <w:r w:rsidRPr="00FA4FF2">
        <w:rPr>
          <w:sz w:val="24"/>
          <w:szCs w:val="24"/>
        </w:rPr>
        <w:t>Universität</w:t>
      </w:r>
      <w:proofErr w:type="spellEnd"/>
      <w:r w:rsidRPr="00FA4FF2">
        <w:rPr>
          <w:sz w:val="24"/>
          <w:szCs w:val="24"/>
        </w:rPr>
        <w:t xml:space="preserve"> Wien</w:t>
      </w:r>
      <w:r>
        <w:t xml:space="preserve"> </w:t>
      </w:r>
    </w:p>
    <w:p w:rsidR="00BF57EB" w:rsidRDefault="009E268A" w:rsidP="00FA4FF2">
      <w:pPr>
        <w:spacing w:after="0" w:line="240" w:lineRule="auto"/>
        <w:ind w:left="1800" w:firstLine="360"/>
      </w:pPr>
      <w:hyperlink r:id="rId6" w:history="1">
        <w:r w:rsidR="00BF57EB">
          <w:rPr>
            <w:rStyle w:val="Hyperlink"/>
          </w:rPr>
          <w:t xml:space="preserve">Dan </w:t>
        </w:r>
        <w:proofErr w:type="spellStart"/>
        <w:r w:rsidR="00BF57EB">
          <w:rPr>
            <w:rStyle w:val="Hyperlink"/>
          </w:rPr>
          <w:t>Topa</w:t>
        </w:r>
        <w:proofErr w:type="spellEnd"/>
        <w:r w:rsidR="00BF57EB">
          <w:rPr>
            <w:rStyle w:val="Hyperlink"/>
          </w:rPr>
          <w:t xml:space="preserve"> </w:t>
        </w:r>
      </w:hyperlink>
      <w:r w:rsidR="00BF57EB">
        <w:tab/>
      </w:r>
      <w:r w:rsidR="00FA4FF2">
        <w:tab/>
      </w:r>
      <w:r w:rsidR="00BF57EB">
        <w:t xml:space="preserve">Natural History Museum </w:t>
      </w:r>
    </w:p>
    <w:p w:rsidR="000C7741" w:rsidRDefault="009E268A" w:rsidP="00FA4FF2">
      <w:pPr>
        <w:spacing w:after="100" w:afterAutospacing="1" w:line="240" w:lineRule="auto"/>
        <w:ind w:left="1440" w:firstLine="720"/>
      </w:pPr>
      <w:hyperlink r:id="rId7" w:history="1">
        <w:r w:rsidR="00BF57EB">
          <w:rPr>
            <w:rStyle w:val="Hyperlink"/>
          </w:rPr>
          <w:t xml:space="preserve">George R. Rossman </w:t>
        </w:r>
      </w:hyperlink>
      <w:r w:rsidR="00BF57EB">
        <w:tab/>
        <w:t>California Institute of Technology</w:t>
      </w:r>
    </w:p>
    <w:sectPr w:rsidR="000C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759"/>
    <w:multiLevelType w:val="multilevel"/>
    <w:tmpl w:val="2DC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F2AB9"/>
    <w:multiLevelType w:val="multilevel"/>
    <w:tmpl w:val="6C6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2598E"/>
    <w:multiLevelType w:val="multilevel"/>
    <w:tmpl w:val="DF6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B7F86"/>
    <w:multiLevelType w:val="multilevel"/>
    <w:tmpl w:val="153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8481C"/>
    <w:multiLevelType w:val="multilevel"/>
    <w:tmpl w:val="29E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B"/>
    <w:rsid w:val="000400AE"/>
    <w:rsid w:val="00827145"/>
    <w:rsid w:val="009E268A"/>
    <w:rsid w:val="00A134E6"/>
    <w:rsid w:val="00A652B3"/>
    <w:rsid w:val="00BF57EB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652A3-D915-4C61-9614-468A22A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E6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BF57E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BF57E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57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57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57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inalnumber">
    <w:name w:val="finalnumber"/>
    <w:basedOn w:val="DefaultParagraphFont"/>
    <w:rsid w:val="00BF57EB"/>
  </w:style>
  <w:style w:type="character" w:customStyle="1" w:styleId="entryinformation">
    <w:name w:val="entryinformation"/>
    <w:basedOn w:val="DefaultParagraphFont"/>
    <w:rsid w:val="00BF57EB"/>
  </w:style>
  <w:style w:type="paragraph" w:customStyle="1" w:styleId="slotdate">
    <w:name w:val="slotdate"/>
    <w:basedOn w:val="Normal"/>
    <w:rsid w:val="00BF57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lottime">
    <w:name w:val="slottime"/>
    <w:basedOn w:val="Normal"/>
    <w:rsid w:val="00BF57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7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7EB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57EB"/>
    <w:rPr>
      <w:i/>
      <w:iCs/>
    </w:rPr>
  </w:style>
  <w:style w:type="character" w:styleId="Strong">
    <w:name w:val="Strong"/>
    <w:basedOn w:val="DefaultParagraphFont"/>
    <w:uiPriority w:val="22"/>
    <w:qFormat/>
    <w:rsid w:val="00BF57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57EB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BF57EB"/>
  </w:style>
  <w:style w:type="character" w:customStyle="1" w:styleId="sessionlisttitle">
    <w:name w:val="sessionlisttitle"/>
    <w:basedOn w:val="DefaultParagraphFont"/>
    <w:rsid w:val="00BF57EB"/>
  </w:style>
  <w:style w:type="character" w:customStyle="1" w:styleId="topdisplay">
    <w:name w:val="topdisplay"/>
    <w:basedOn w:val="DefaultParagraphFont"/>
    <w:rsid w:val="00BF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a.confex.com/gsa/2019AM/meetingapp.cgi/Person/182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a.confex.com/gsa/2019AM/meetingapp.cgi/Person/214526" TargetMode="External"/><Relationship Id="rId5" Type="http://schemas.openxmlformats.org/officeDocument/2006/relationships/hyperlink" Target="https://gsa.confex.com/gsa/2019AM/meetingapp.cgi/Person/1286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grr</cp:lastModifiedBy>
  <cp:revision>2</cp:revision>
  <dcterms:created xsi:type="dcterms:W3CDTF">2019-10-03T20:43:00Z</dcterms:created>
  <dcterms:modified xsi:type="dcterms:W3CDTF">2019-11-15T21:32:00Z</dcterms:modified>
</cp:coreProperties>
</file>